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Госкана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Госуслуги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» для 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проверки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 xml:space="preserve">QR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-кодов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>
        <w:rPr>
          <w:rFonts w:ascii="Times New Roman" w:hAnsi="Times New Roman" w:cs="Times New Roman"/>
          <w:bCs/>
          <w:sz w:val="28"/>
          <w:lang w:val="ru-RU"/>
        </w:rPr>
        <w:t xml:space="preserve">электронного (цифрового) документа (далее</w:t>
      </w:r>
      <w:r>
        <w:rPr>
          <w:rFonts w:ascii="Times New Roman" w:hAnsi="Times New Roman" w:cs="Times New Roman"/>
          <w:b/>
          <w:sz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lang w:val="ru-RU"/>
        </w:rPr>
        <w:t xml:space="preserve">QR-код</w:t>
      </w:r>
      <w:r>
        <w:rPr>
          <w:rFonts w:ascii="Times New Roman" w:hAnsi="Times New Roman" w:cs="Times New Roman"/>
          <w:sz w:val="28"/>
          <w:lang w:val="ru-RU"/>
        </w:rPr>
        <w:t xml:space="preserve">)</w:t>
      </w:r>
      <w:r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</w:t>
      </w:r>
      <w:r>
        <w:rPr>
          <w:rFonts w:ascii="Times New Roman" w:hAnsi="Times New Roman" w:cs="Times New Roman"/>
          <w:sz w:val="28"/>
          <w:lang w:val="ru-RU"/>
        </w:rPr>
        <w:t xml:space="preserve">Госкана</w:t>
      </w:r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«Госуслуги» юридическому лицу необходимо выпустить машиночитаемую доверенность</w:t>
      </w:r>
      <w:r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 xml:space="preserve">.</w:t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Машиночитаемая доверенность (</w:t>
      </w:r>
      <w:r>
        <w:rPr>
          <w:rFonts w:ascii="Times New Roman" w:hAnsi="Times New Roman" w:cs="Times New Roman"/>
          <w:sz w:val="28"/>
          <w:lang w:val="ru-RU"/>
        </w:rPr>
        <w:t xml:space="preserve">далее – </w:t>
      </w:r>
      <w:r>
        <w:rPr>
          <w:rFonts w:ascii="Times New Roman" w:hAnsi="Times New Roman" w:cs="Times New Roman"/>
          <w:sz w:val="28"/>
          <w:lang w:val="ru-RU"/>
        </w:rPr>
        <w:t xml:space="preserve">МЧД</w:t>
      </w:r>
      <w:r>
        <w:rPr>
          <w:rFonts w:ascii="Times New Roman" w:hAnsi="Times New Roman" w:cs="Times New Roman"/>
          <w:sz w:val="28"/>
          <w:lang w:val="ru-RU"/>
        </w:rPr>
        <w:t xml:space="preserve">)</w:t>
      </w:r>
      <w:r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0" w:name="_Toc184076631"/>
      <w:r>
        <w:rPr>
          <w:rFonts w:ascii="Times New Roman" w:hAnsi="Times New Roman" w:cs="Times New Roman"/>
          <w:b/>
          <w:sz w:val="28"/>
          <w:lang w:val="ru-RU"/>
        </w:rPr>
        <w:t xml:space="preserve">Обязательные условия</w:t>
      </w:r>
      <w:bookmarkEnd w:id="0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осуществления проверки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осуществляющему проверку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должны быть обеспечены следующие условия:</w:t>
      </w:r>
    </w:p>
    <w:p>
      <w:pPr>
        <w:pStyle w:val="a3"/>
        <w:numPr>
          <w:numId w:val="6"/>
          <w:ilvl w:val="0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Наличие смартфона, подключенного к сети «Интернет»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</w:p>
    <w:p>
      <w:pPr>
        <w:pStyle w:val="a3"/>
        <w:numPr>
          <w:numId w:val="6"/>
          <w:ilvl w:val="0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подтвержденной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https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www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gosuslugi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ru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</w:hyperlink>
      <w:r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pStyle w:val="a3"/>
        <w:numPr>
          <w:numId w:val="6"/>
          <w:ilvl w:val="0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https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www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gosuslugi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ru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help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faq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popular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/1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</w:p>
    <w:p>
      <w:pPr>
        <w:pStyle w:val="a3"/>
        <w:numPr>
          <w:numId w:val="6"/>
          <w:ilvl w:val="0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Лицу, осуществляющему проверку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ЕПГУ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ЕПГУ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9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https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www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gosuslugi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ru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help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faq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subcategory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about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gosuslugi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company</w:t>
        </w:r>
        <w:r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profile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</w:p>
    <w:p>
      <w:pPr>
        <w:pStyle w:val="a3"/>
        <w:numPr>
          <w:numId w:val="6"/>
          <w:ilvl w:val="0"/>
        </w:numPr>
        <w:tabs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Лицом, осуществляющим проверку, должна быть обеспечена авторизация в мобильном приложении «Госуслуги»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 xml:space="preserve">П</w:t>
      </w:r>
      <w:r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 xml:space="preserve">QR</w:t>
      </w:r>
      <w:r>
        <w:rPr>
          <w:rFonts w:ascii="Times New Roman" w:hAnsi="Times New Roman" w:cs="Times New Roman"/>
          <w:b/>
          <w:sz w:val="28"/>
          <w:lang w:val="ru-RU"/>
        </w:rPr>
        <w:t xml:space="preserve"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>
        <w:rPr>
          <w:rFonts w:ascii="Times New Roman" w:hAnsi="Times New Roman" w:cs="Times New Roman"/>
          <w:b/>
          <w:sz w:val="28"/>
          <w:lang w:val="ru-RU"/>
        </w:rPr>
        <w:t xml:space="preserve">многодетной семьи</w:t>
      </w:r>
    </w:p>
    <w:p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>
      <w:pPr>
        <w:pStyle w:val="11"/>
        <w:numPr>
          <w:numId w:val="7"/>
          <w:ilvl w:val="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napToGrid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3378200</wp:posOffset>
                </wp:positionH>
                <wp:positionV relativeFrom="paragraph">
                  <wp:posOffset>91440</wp:posOffset>
                </wp:positionV>
                <wp:extent cx="2514600" cy="3566795"/>
                <wp:effectExtent l="0" t="0" r="635" b="0"/>
                <wp:wrapTight wrapText="bothSides">
                  <wp:wrapPolygon edited="0">
                    <wp:start x="0" y="0"/>
                    <wp:lineTo x="0" y="21467"/>
                    <wp:lineTo x="21373" y="21467"/>
                    <wp:lineTo x="21373" y="0"/>
                    <wp:lineTo x="0" y="0"/>
                  </wp:wrapPolygon>
                </wp:wrapTight>
                <wp:docPr id="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hoto_5231165532994735555_y.jpg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514600" cy="3566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margin;margin-left:266.00pt;mso-position-horizontal:absolute;mso-position-vertical-relative:text;margin-top:7.20pt;mso-position-vertical:absolute;width:198.00pt;height:280.85pt;mso-wrap-distance-left:9.00pt;mso-wrap-distance-top:0.00pt;mso-wrap-distance-right:9.00pt;mso-wrap-distance-bottom:0.00pt;" wrapcoords="0 0 0 99384 98949 99384 98949 0 0 0" stroked="false">
                <v:path textboxrect="0,0,0,0"/>
                <w10:wrap type="tight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  <w:t xml:space="preserve">Открыть мобильное приложение «Госуслуги».</w:t>
      </w:r>
      <w:r>
        <w:rPr>
          <w:snapToGrid/>
          <w:sz w:val="28"/>
          <w:szCs w:val="28"/>
        </w:rPr>
        <w:t xml:space="preserve"> </w:t>
      </w:r>
    </w:p>
    <w:p>
      <w:pPr>
        <w:pStyle w:val="11"/>
        <w:numPr>
          <w:numId w:val="7"/>
          <w:ilvl w:val="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Авторизоваться в мобильном приложении «Госуслуги».</w:t>
      </w:r>
    </w:p>
    <w:p>
      <w:pPr>
        <w:pStyle w:val="11"/>
        <w:numPr>
          <w:numId w:val="7"/>
          <w:ilvl w:val="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Нажать на кнопку «</w:t>
      </w:r>
      <w:r>
        <w:rPr>
          <w:sz w:val="28"/>
          <w:szCs w:val="28"/>
        </w:rPr>
        <w:t xml:space="preserve">госкан</w:t>
      </w:r>
      <w:r>
        <w:rPr>
          <w:sz w:val="28"/>
          <w:szCs w:val="28"/>
        </w:rPr>
        <w:t xml:space="preserve">» в правом верхнем углу экрана.</w:t>
      </w:r>
    </w:p>
    <w:p>
      <w:pPr>
        <w:pStyle w:val="11"/>
        <w:tabs>
          <w:tab w:val="clear" w:pos="851"/>
          <w:tab w:val="left" w:pos="993"/>
        </w:tabs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>
        <w:tc>
          <w:tcPr>
            <w:tcW w:w="5184" w:type="dxa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pStyle w:val="11"/>
              <w:numPr>
                <w:numId w:val="7"/>
                <w:ilvl w:val="1"/>
              </w:numPr>
              <w:tabs>
                <w:tab w:val="clear" w:pos="851"/>
                <w:tab w:val="left" w:pos="993"/>
              </w:tabs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 сканировани</w:t>
            </w:r>
            <w:r>
              <w:rPr>
                <w:sz w:val="28"/>
                <w:szCs w:val="28"/>
                <w:lang w:eastAsia="en-US"/>
              </w:rPr>
              <w:t xml:space="preserve"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 xml:space="preserve">QR</w:t>
            </w:r>
            <w:r>
              <w:rPr>
                <w:sz w:val="28"/>
                <w:szCs w:val="28"/>
                <w:lang w:eastAsia="en-US"/>
              </w:rPr>
              <w:t xml:space="preserve"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12612" cy="5447341"/>
                      <wp:effectExtent l="0" t="0" r="2540" b="1270"/>
                      <wp:docPr id="2" name="Google Shape;163;g3a2fc87200d_0_20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3" name="Google Shape;163;g3a2fc87200d_0_200"/>
                              <pic:cNvPicPr preferRelativeResize="0"/>
                              <pic:nvPr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516712" cy="545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97.84pt;height:428.92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</w:tr>
      <w:tr>
        <w:tc>
          <w:tcPr>
            <w:tcW w:w="5184" w:type="dxa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</w:rPr>
            </w:pPr>
          </w:p>
        </w:tc>
      </w:tr>
      <w:tr>
        <w:tc>
          <w:tcPr>
            <w:tcW w:w="5184" w:type="dxa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pStyle w:val="11"/>
              <w:numPr>
                <w:numId w:val="7"/>
                <w:ilvl w:val="1"/>
              </w:numPr>
              <w:tabs>
                <w:tab w:val="clear" w:pos="851"/>
                <w:tab w:val="left" w:pos="993"/>
              </w:tabs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Пример стартового экрана сканера «</w:t>
            </w:r>
            <w:r>
              <w:rPr>
                <w:sz w:val="28"/>
                <w:szCs w:val="28"/>
                <w:lang w:eastAsia="en-US"/>
              </w:rPr>
              <w:t xml:space="preserve">Госкан</w:t>
            </w:r>
            <w:r>
              <w:rPr>
                <w:sz w:val="28"/>
                <w:szCs w:val="28"/>
                <w:lang w:eastAsia="en-US"/>
              </w:rPr>
              <w:t xml:space="preserve">», где можно выбрать вариант сканирования от организации, в </w:t>
            </w:r>
            <w:r>
              <w:rPr>
                <w:sz w:val="28"/>
                <w:szCs w:val="28"/>
                <w:lang w:eastAsia="en-US"/>
              </w:rPr>
              <w:t xml:space="preserve"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>
              <w:rPr>
                <w:sz w:val="28"/>
                <w:szCs w:val="28"/>
                <w:lang w:eastAsia="en-US"/>
              </w:rPr>
              <w:t xml:space="preserve"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Для сканирования от лица организации проверяющему необходимо нажать на название организации в верхней части экрана.</w:t>
            </w:r>
          </w:p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one"/>
              <w:left w:val="none"/>
              <w:bottom w:val="none"/>
              <w:right w:val="none"/>
            </w:tcBorders>
            <w:hideMark/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4997" cy="4720281"/>
                      <wp:effectExtent l="0" t="0" r="0" b="4445"/>
                      <wp:docPr id="3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7959553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2189912" cy="47746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70.47pt;height:371.68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  <w:tr>
        <w:tc>
          <w:tcPr>
            <w:tcW w:w="5184" w:type="dxa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one"/>
              <w:left w:val="none"/>
              <w:bottom w:val="none"/>
              <w:right w:val="none"/>
            </w:tcBorders>
            <w:hideMark/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>
        <w:tc>
          <w:tcPr>
            <w:tcW w:w="5184" w:type="dxa"/>
            <w:tcBorders>
              <w:top w:val="none"/>
              <w:left w:val="none"/>
              <w:bottom w:val="none"/>
              <w:right w:val="none"/>
            </w:tcBorders>
          </w:tcPr>
          <w:p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6. При нажатии на ссылку «Подробнее»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>
            <w:pPr>
              <w:pStyle w:val="11"/>
              <w:numPr>
                <w:numId w:val="8"/>
                <w:ilvl w:val="0"/>
              </w:numPr>
              <w:tabs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документ, на основании</w:t>
            </w:r>
            <w:r>
              <w:rPr>
                <w:sz w:val="28"/>
                <w:szCs w:val="28"/>
                <w:lang w:eastAsia="en-US"/>
              </w:rPr>
              <w:t xml:space="preserve"> которого </w:t>
            </w:r>
            <w:r>
              <w:rPr>
                <w:sz w:val="28"/>
                <w:szCs w:val="28"/>
                <w:lang w:eastAsia="en-US"/>
              </w:rPr>
              <w:t xml:space="preserve"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>
            <w:pPr>
              <w:pStyle w:val="11"/>
              <w:numPr>
                <w:numId w:val="8"/>
                <w:ilvl w:val="0"/>
              </w:numPr>
              <w:tabs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 действия доверенности;</w:t>
            </w:r>
          </w:p>
          <w:p>
            <w:pPr>
              <w:pStyle w:val="11"/>
              <w:numPr>
                <w:numId w:val="8"/>
                <w:ilvl w:val="0"/>
              </w:numPr>
              <w:tabs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название организации;</w:t>
            </w:r>
          </w:p>
          <w:p>
            <w:pPr>
              <w:pStyle w:val="11"/>
              <w:numPr>
                <w:numId w:val="8"/>
                <w:ilvl w:val="0"/>
              </w:numPr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ОРГН.</w:t>
            </w:r>
          </w:p>
          <w:p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one"/>
              <w:left w:val="none"/>
              <w:bottom w:val="none"/>
              <w:right w:val="none"/>
            </w:tcBorders>
            <w:hideMark/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08200" cy="4489981"/>
                      <wp:effectExtent l="0" t="0" r="6350" b="6350"/>
                      <wp:docPr id="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8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13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21386" cy="45180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66.00pt;height:353.54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</w:tr>
    </w:tbl>
    <w:p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7</w:t>
      </w:r>
      <w:r>
        <w:rPr>
          <w:rFonts w:ascii="Times New Roman" w:hAnsi="Times New Roman" w:cs="Times New Roman"/>
          <w:sz w:val="28"/>
          <w:lang w:val="ru-RU"/>
        </w:rPr>
        <w:t xml:space="preserve">. При успешном сканировании QR-кода документа открывается детальный экран</w:t>
      </w:r>
      <w:r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>
        <w:rPr>
          <w:rFonts w:ascii="Times New Roman" w:hAnsi="Times New Roman" w:cs="Times New Roman"/>
          <w:sz w:val="28"/>
          <w:lang w:val="ru-RU"/>
        </w:rPr>
        <w:t xml:space="preserve">о многодетной семье, найденной</w:t>
      </w:r>
      <w:r>
        <w:rPr>
          <w:rFonts w:ascii="Times New Roman" w:hAnsi="Times New Roman" w:cs="Times New Roman"/>
          <w:sz w:val="28"/>
          <w:lang w:val="ru-RU"/>
        </w:rPr>
        <w:t xml:space="preserve"> в </w:t>
      </w:r>
      <w:r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>
        <w:rPr>
          <w:rFonts w:ascii="Times New Roman" w:hAnsi="Times New Roman" w:cs="Times New Roman"/>
          <w:sz w:val="28"/>
          <w:lang w:val="ru-RU"/>
        </w:rPr>
        <w:t xml:space="preserve">в государственной информационной систем</w:t>
      </w:r>
      <w:r>
        <w:rPr>
          <w:rFonts w:ascii="Times New Roman" w:hAnsi="Times New Roman" w:cs="Times New Roman"/>
          <w:sz w:val="28"/>
          <w:lang w:val="ru-RU"/>
        </w:rPr>
        <w:t xml:space="preserve">е</w:t>
      </w:r>
      <w:r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>
        <w:rPr>
          <w:rFonts w:ascii="Times New Roman" w:hAnsi="Times New Roman" w:cs="Times New Roman"/>
          <w:sz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lang w:val="ru-RU"/>
        </w:rPr>
        <w:t xml:space="preserve">.</w:t>
      </w:r>
    </w:p>
    <w:p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 w:clear="all"/>
      </w:r>
    </w:p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lang w:val="ru-RU"/>
        </w:rPr>
        <w:t xml:space="preserve">Ошибки при сканировании</w:t>
      </w:r>
    </w:p>
    <w:tbl>
      <w:tblPr>
        <w:tblStyle w:val="a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>
        <w:tc>
          <w:tcPr>
            <w:tcW w:w="4672" w:type="dxa"/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</w:t>
            </w:r>
            <w:r>
              <w:rPr>
                <w:sz w:val="28"/>
                <w:szCs w:val="28"/>
                <w:lang w:eastAsia="en-US"/>
              </w:rPr>
              <w:t xml:space="preserve">. Если </w:t>
            </w:r>
            <w:r>
              <w:rPr>
                <w:sz w:val="28"/>
                <w:szCs w:val="28"/>
                <w:lang w:val="en-US" w:eastAsia="en-US"/>
              </w:rPr>
              <w:t xml:space="preserve">QR</w:t>
            </w:r>
            <w:r>
              <w:rPr>
                <w:sz w:val="28"/>
                <w:szCs w:val="28"/>
                <w:lang w:eastAsia="en-US"/>
              </w:rPr>
              <w:t xml:space="preserve">-код удостоверения не распознан</w:t>
            </w:r>
            <w:r>
              <w:rPr>
                <w:sz w:val="28"/>
                <w:szCs w:val="28"/>
                <w:lang w:eastAsia="en-US"/>
              </w:rPr>
              <w:t xml:space="preserve"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39900" cy="3416986"/>
                      <wp:effectExtent l="19050" t="19050" r="12700" b="12065"/>
                      <wp:docPr id="5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14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77378" cy="3490589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37.00pt;height:269.05pt;mso-wrap-distance-left:0.00pt;mso-wrap-distance-top:0.00pt;mso-wrap-distance-right:0.00pt;mso-wrap-distance-bottom:0.00pt;" strokecolor="#000000" strokeweight="0.75pt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  <w:tr>
        <w:tc>
          <w:tcPr>
            <w:tcW w:w="4672" w:type="dxa"/>
            <w:hideMark/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</w:t>
            </w:r>
            <w:r>
              <w:rPr>
                <w:sz w:val="28"/>
                <w:szCs w:val="28"/>
                <w:lang w:eastAsia="en-US"/>
              </w:rPr>
              <w:t xml:space="preserve">. В случае</w:t>
            </w:r>
            <w:r>
              <w:rPr>
                <w:sz w:val="28"/>
                <w:szCs w:val="28"/>
                <w:lang w:eastAsia="en-US"/>
              </w:rPr>
              <w:t xml:space="preserve">,</w:t>
            </w:r>
            <w:r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 xml:space="preserve">истёк её срок действия</w:t>
            </w:r>
            <w:r>
              <w:rPr>
                <w:sz w:val="28"/>
                <w:szCs w:val="28"/>
                <w:lang w:eastAsia="en-US"/>
              </w:rPr>
              <w:t xml:space="preserve"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 xml:space="preserve">экран</w:t>
            </w:r>
            <w:r>
              <w:rPr>
                <w:sz w:val="28"/>
                <w:szCs w:val="28"/>
                <w:lang w:eastAsia="en-US"/>
              </w:rPr>
              <w:t xml:space="preserve"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13374" cy="3409950"/>
                      <wp:effectExtent l="19050" t="19050" r="20320" b="19050"/>
                      <wp:docPr id="6" name="Рисунок 11" descr="Изображение выглядит как текст, снимок экрана, диаграмма, дизайн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15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4761" cy="3492317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34.91pt;height:268.50pt;mso-wrap-distance-left:0.00pt;mso-wrap-distance-top:0.00pt;mso-wrap-distance-right:0.00pt;mso-wrap-distance-bottom:0.00pt;" strokecolor="#000000" strokeweight="0.75pt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</w:tr>
    </w:tbl>
    <w:p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В случае</w:t>
      </w:r>
      <w:r>
        <w:rPr>
          <w:sz w:val="28"/>
          <w:szCs w:val="28"/>
        </w:rPr>
        <w:t xml:space="preserve">,</w:t>
      </w:r>
      <w:bookmarkStart w:id="2" w:name="_GoBack"/>
      <w:bookmarkEnd w:id="2"/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>
        <w:tc>
          <w:tcPr>
            <w:tcW w:w="3888" w:type="dxa"/>
            <w:hideMark/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38325" cy="4029075"/>
                      <wp:effectExtent l="19050" t="19050" r="28575" b="28575"/>
                      <wp:docPr id="7" name="Рисунок 10" descr="Изображение выглядит как текст, снимок экрана, диаграмма, линия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16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8325" cy="40290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44.75pt;height:317.25pt;mso-wrap-distance-left:0.00pt;mso-wrap-distance-top:0.00pt;mso-wrap-distance-right:0.00pt;mso-wrap-distance-bottom:0.00pt;" strokecolor="#000000" strokeweight="0.75pt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3887" w:type="dxa"/>
            <w:hideMark/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38325" cy="4038600"/>
                      <wp:effectExtent l="19050" t="19050" r="28575" b="19050"/>
                      <wp:docPr id="8" name="Рисунок 9" descr="Изображение выглядит как текст, снимок экрана, письмо, дизайн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17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8325" cy="40386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44.75pt;height:318.00pt;mso-wrap-distance-left:0.00pt;mso-wrap-distance-top:0.00pt;mso-wrap-distance-right:0.00pt;mso-wrap-distance-bottom:0.00pt;" strokecolor="#000000" strokeweight="0.75pt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1570" w:type="dxa"/>
            <w:hideMark/>
          </w:tcPr>
          <w:p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57375" cy="4029075"/>
                      <wp:effectExtent l="19050" t="19050" r="28575" b="28575"/>
                      <wp:docPr id="9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18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7375" cy="40290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46.25pt;height:317.25pt;mso-wrap-distance-left:0.00pt;mso-wrap-distance-top:0.00pt;mso-wrap-distance-right:0.00pt;mso-wrap-distance-bottom:0.00pt;" strokecolor="#000000" strokeweight="0.75pt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</w:tbl>
    <w:p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multiLevelType w:val="hybridMultilevel"/>
    <w:lvl w:ilvl="0" w:tplc="CEE82EF6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left="1440" w:hanging="360"/>
      </w:pPr>
    </w:lvl>
    <w:lvl w:ilvl="2" w:tentative="1" w:tplc="0409001B">
      <w:start w:val="1"/>
      <w:numFmt w:val="lowerRoman"/>
      <w:lvlText w:val="%3."/>
      <w:lvlJc w:val="right"/>
      <w:pPr>
        <w:ind w:left="2160" w:hanging="180"/>
      </w:pPr>
    </w:lvl>
    <w:lvl w:ilvl="3" w:tentative="1" w:tplc="0409000F">
      <w:start w:val="1"/>
      <w:numFmt w:val="decimal"/>
      <w:lvlText w:val="%4."/>
      <w:lvlJc w:val="left"/>
      <w:pPr>
        <w:ind w:left="2880" w:hanging="360"/>
      </w:pPr>
    </w:lvl>
    <w:lvl w:ilvl="4" w:tentative="1" w:tplc="04090019">
      <w:start w:val="1"/>
      <w:numFmt w:val="lowerLetter"/>
      <w:lvlText w:val="%5."/>
      <w:lvlJc w:val="left"/>
      <w:pPr>
        <w:ind w:left="3600" w:hanging="360"/>
      </w:pPr>
    </w:lvl>
    <w:lvl w:ilvl="5" w:tentative="1" w:tplc="0409001B">
      <w:start w:val="1"/>
      <w:numFmt w:val="lowerRoman"/>
      <w:lvlText w:val="%6."/>
      <w:lvlJc w:val="right"/>
      <w:pPr>
        <w:ind w:left="4320" w:hanging="180"/>
      </w:pPr>
    </w:lvl>
    <w:lvl w:ilvl="6" w:tentative="1" w:tplc="0409000F">
      <w:start w:val="1"/>
      <w:numFmt w:val="decimal"/>
      <w:lvlText w:val="%7."/>
      <w:lvlJc w:val="left"/>
      <w:pPr>
        <w:ind w:left="5040" w:hanging="360"/>
      </w:pPr>
    </w:lvl>
    <w:lvl w:ilvl="7" w:tentative="1" w:tplc="04090019">
      <w:start w:val="1"/>
      <w:numFmt w:val="lowerLetter"/>
      <w:lvlText w:val="%8."/>
      <w:lvlJc w:val="left"/>
      <w:pPr>
        <w:ind w:left="5760" w:hanging="360"/>
      </w:pPr>
    </w:lvl>
    <w:lvl w:ilvl="8" w:tentative="1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left="1800" w:hanging="360"/>
      </w:pPr>
    </w:lvl>
    <w:lvl w:ilvl="2" w:tentative="1" w:tplc="0409001B">
      <w:start w:val="1"/>
      <w:numFmt w:val="lowerRoman"/>
      <w:lvlText w:val="%3."/>
      <w:lvlJc w:val="right"/>
      <w:pPr>
        <w:ind w:left="2520" w:hanging="180"/>
      </w:pPr>
    </w:lvl>
    <w:lvl w:ilvl="3" w:tentative="1" w:tplc="0409000F">
      <w:start w:val="1"/>
      <w:numFmt w:val="decimal"/>
      <w:lvlText w:val="%4."/>
      <w:lvlJc w:val="left"/>
      <w:pPr>
        <w:ind w:left="3240" w:hanging="360"/>
      </w:pPr>
    </w:lvl>
    <w:lvl w:ilvl="4" w:tentative="1" w:tplc="04090019">
      <w:start w:val="1"/>
      <w:numFmt w:val="lowerLetter"/>
      <w:lvlText w:val="%5."/>
      <w:lvlJc w:val="left"/>
      <w:pPr>
        <w:ind w:left="3960" w:hanging="360"/>
      </w:pPr>
    </w:lvl>
    <w:lvl w:ilvl="5" w:tentative="1" w:tplc="0409001B">
      <w:start w:val="1"/>
      <w:numFmt w:val="lowerRoman"/>
      <w:lvlText w:val="%6."/>
      <w:lvlJc w:val="right"/>
      <w:pPr>
        <w:ind w:left="4680" w:hanging="180"/>
      </w:pPr>
    </w:lvl>
    <w:lvl w:ilvl="6" w:tentative="1" w:tplc="0409000F">
      <w:start w:val="1"/>
      <w:numFmt w:val="decimal"/>
      <w:lvlText w:val="%7."/>
      <w:lvlJc w:val="left"/>
      <w:pPr>
        <w:ind w:left="5400" w:hanging="360"/>
      </w:pPr>
    </w:lvl>
    <w:lvl w:ilvl="7" w:tentative="1" w:tplc="04090019">
      <w:start w:val="1"/>
      <w:numFmt w:val="lowerLetter"/>
      <w:lvlText w:val="%8."/>
      <w:lvlJc w:val="left"/>
      <w:pPr>
        <w:ind w:left="6120" w:hanging="360"/>
      </w:pPr>
    </w:lvl>
    <w:lvl w:ilvl="8" w:tentative="1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multiLevelType w:val="hybridMultilevel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entative="1" w:tplc="04090019">
      <w:start w:val="1"/>
      <w:numFmt w:val="lowerLetter"/>
      <w:lvlText w:val="%2."/>
      <w:lvlJc w:val="left"/>
      <w:pPr>
        <w:ind w:left="1440" w:hanging="360"/>
      </w:pPr>
    </w:lvl>
    <w:lvl w:ilvl="2" w:tentative="1" w:tplc="0409001B">
      <w:start w:val="1"/>
      <w:numFmt w:val="lowerRoman"/>
      <w:lvlText w:val="%3."/>
      <w:lvlJc w:val="right"/>
      <w:pPr>
        <w:ind w:left="2160" w:hanging="180"/>
      </w:pPr>
    </w:lvl>
    <w:lvl w:ilvl="3" w:tentative="1" w:tplc="0409000F">
      <w:start w:val="1"/>
      <w:numFmt w:val="decimal"/>
      <w:lvlText w:val="%4."/>
      <w:lvlJc w:val="left"/>
      <w:pPr>
        <w:ind w:left="2880" w:hanging="360"/>
      </w:pPr>
    </w:lvl>
    <w:lvl w:ilvl="4" w:tentative="1" w:tplc="04090019">
      <w:start w:val="1"/>
      <w:numFmt w:val="lowerLetter"/>
      <w:lvlText w:val="%5."/>
      <w:lvlJc w:val="left"/>
      <w:pPr>
        <w:ind w:left="3600" w:hanging="360"/>
      </w:pPr>
    </w:lvl>
    <w:lvl w:ilvl="5" w:tentative="1" w:tplc="0409001B">
      <w:start w:val="1"/>
      <w:numFmt w:val="lowerRoman"/>
      <w:lvlText w:val="%6."/>
      <w:lvlJc w:val="right"/>
      <w:pPr>
        <w:ind w:left="4320" w:hanging="180"/>
      </w:pPr>
    </w:lvl>
    <w:lvl w:ilvl="6" w:tentative="1" w:tplc="0409000F">
      <w:start w:val="1"/>
      <w:numFmt w:val="decimal"/>
      <w:lvlText w:val="%7."/>
      <w:lvlJc w:val="left"/>
      <w:pPr>
        <w:ind w:left="5040" w:hanging="360"/>
      </w:pPr>
    </w:lvl>
    <w:lvl w:ilvl="7" w:tentative="1" w:tplc="04090019">
      <w:start w:val="1"/>
      <w:numFmt w:val="lowerLetter"/>
      <w:lvlText w:val="%8."/>
      <w:lvlJc w:val="left"/>
      <w:pPr>
        <w:ind w:left="5760" w:hanging="360"/>
      </w:pPr>
    </w:lvl>
    <w:lvl w:ilvl="8" w:tentative="1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left="1440" w:hanging="360"/>
      </w:pPr>
    </w:lvl>
    <w:lvl w:ilvl="2" w:tentative="1" w:tplc="0409001B">
      <w:start w:val="1"/>
      <w:numFmt w:val="lowerRoman"/>
      <w:lvlText w:val="%3."/>
      <w:lvlJc w:val="right"/>
      <w:pPr>
        <w:ind w:left="2160" w:hanging="180"/>
      </w:pPr>
    </w:lvl>
    <w:lvl w:ilvl="3" w:tentative="1" w:tplc="0409000F">
      <w:start w:val="1"/>
      <w:numFmt w:val="decimal"/>
      <w:lvlText w:val="%4."/>
      <w:lvlJc w:val="left"/>
      <w:pPr>
        <w:ind w:left="2880" w:hanging="360"/>
      </w:pPr>
    </w:lvl>
    <w:lvl w:ilvl="4" w:tentative="1" w:tplc="04090019">
      <w:start w:val="1"/>
      <w:numFmt w:val="lowerLetter"/>
      <w:lvlText w:val="%5."/>
      <w:lvlJc w:val="left"/>
      <w:pPr>
        <w:ind w:left="3600" w:hanging="360"/>
      </w:pPr>
    </w:lvl>
    <w:lvl w:ilvl="5" w:tentative="1" w:tplc="0409001B">
      <w:start w:val="1"/>
      <w:numFmt w:val="lowerRoman"/>
      <w:lvlText w:val="%6."/>
      <w:lvlJc w:val="right"/>
      <w:pPr>
        <w:ind w:left="4320" w:hanging="180"/>
      </w:pPr>
    </w:lvl>
    <w:lvl w:ilvl="6" w:tentative="1" w:tplc="0409000F">
      <w:start w:val="1"/>
      <w:numFmt w:val="decimal"/>
      <w:lvlText w:val="%7."/>
      <w:lvlJc w:val="left"/>
      <w:pPr>
        <w:ind w:left="5040" w:hanging="360"/>
      </w:pPr>
    </w:lvl>
    <w:lvl w:ilvl="7" w:tentative="1" w:tplc="04090019">
      <w:start w:val="1"/>
      <w:numFmt w:val="lowerLetter"/>
      <w:lvlText w:val="%8."/>
      <w:lvlJc w:val="left"/>
      <w:pPr>
        <w:ind w:left="5760" w:hanging="360"/>
      </w:pPr>
    </w:lvl>
    <w:lvl w:ilvl="8" w:tentative="1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left="1800" w:hanging="360"/>
      </w:pPr>
    </w:lvl>
    <w:lvl w:ilvl="2" w:tentative="1" w:tplc="0409001B">
      <w:start w:val="1"/>
      <w:numFmt w:val="lowerRoman"/>
      <w:lvlText w:val="%3."/>
      <w:lvlJc w:val="right"/>
      <w:pPr>
        <w:ind w:left="2520" w:hanging="180"/>
      </w:pPr>
    </w:lvl>
    <w:lvl w:ilvl="3" w:tentative="1" w:tplc="0409000F">
      <w:start w:val="1"/>
      <w:numFmt w:val="decimal"/>
      <w:lvlText w:val="%4."/>
      <w:lvlJc w:val="left"/>
      <w:pPr>
        <w:ind w:left="3240" w:hanging="360"/>
      </w:pPr>
    </w:lvl>
    <w:lvl w:ilvl="4" w:tentative="1" w:tplc="04090019">
      <w:start w:val="1"/>
      <w:numFmt w:val="lowerLetter"/>
      <w:lvlText w:val="%5."/>
      <w:lvlJc w:val="left"/>
      <w:pPr>
        <w:ind w:left="3960" w:hanging="360"/>
      </w:pPr>
    </w:lvl>
    <w:lvl w:ilvl="5" w:tentative="1" w:tplc="0409001B">
      <w:start w:val="1"/>
      <w:numFmt w:val="lowerRoman"/>
      <w:lvlText w:val="%6."/>
      <w:lvlJc w:val="right"/>
      <w:pPr>
        <w:ind w:left="4680" w:hanging="180"/>
      </w:pPr>
    </w:lvl>
    <w:lvl w:ilvl="6" w:tentative="1" w:tplc="0409000F">
      <w:start w:val="1"/>
      <w:numFmt w:val="decimal"/>
      <w:lvlText w:val="%7."/>
      <w:lvlJc w:val="left"/>
      <w:pPr>
        <w:ind w:left="5400" w:hanging="360"/>
      </w:pPr>
    </w:lvl>
    <w:lvl w:ilvl="7" w:tentative="1" w:tplc="04090019">
      <w:start w:val="1"/>
      <w:numFmt w:val="lowerLetter"/>
      <w:lvlText w:val="%8."/>
      <w:lvlJc w:val="left"/>
      <w:pPr>
        <w:ind w:left="6120" w:hanging="360"/>
      </w:pPr>
    </w:lvl>
    <w:lvl w:ilvl="8" w:tentative="1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pPr>
      <w:tabs>
        <w:tab w:val="left" w:pos="851"/>
      </w:tabs>
      <w:spacing w:before="120" w:after="120" w:line="360" w:lineRule="auto"/>
      <w:jc w:val="center"/>
    </w:pPr>
    <w:rPr>
      <w:rFonts w:ascii="Times New Roman" w:hAnsi="Times New Roman" w:eastAsia="Times New Roman" w:cs="Times New Roman"/>
      <w:snapToGrid w:val="0"/>
      <w:sz w:val="24"/>
      <w:szCs w:val="24"/>
      <w:lang w:val="ru-RU" w:eastAsia="ru-RU"/>
    </w:rPr>
  </w:style>
  <w:style w:type="character" w:styleId="a6" w:customStyle="1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Pr>
      <w:rFonts w:ascii="Times New Roman" w:hAnsi="Times New Roman" w:eastAsia="Times New Roman" w:cs="Times New Roman"/>
      <w:snapToGrid w:val="0"/>
      <w:sz w:val="24"/>
      <w:szCs w:val="24"/>
      <w:lang w:val="ru-RU" w:eastAsia="ru-RU"/>
    </w:rPr>
  </w:style>
  <w:style w:type="paragraph" w:styleId="11" w:customStyle="1">
    <w:name w:val="__ТекстОсн_1и"/>
    <w:basedOn w:val="a"/>
    <w:link w:val="110"/>
    <w:qFormat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hAnsi="Times New Roman" w:eastAsia="Times New Roman" w:cs="Times New Roman"/>
      <w:snapToGrid w:val="0"/>
      <w:sz w:val="24"/>
      <w:szCs w:val="24"/>
      <w:lang w:val="ru-RU" w:eastAsia="ru-RU"/>
    </w:rPr>
  </w:style>
  <w:style w:type="character" w:styleId="110" w:customStyle="1">
    <w:name w:val="__ТекстОсн_1и1"/>
    <w:link w:val="11"/>
    <w:locked/>
    <w:rPr>
      <w:rFonts w:ascii="Times New Roman" w:hAnsi="Times New Roman" w:eastAsia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pPr>
      <w:spacing w:after="0" w:line="240" w:lineRule="auto"/>
    </w:pPr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8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10" w:customStyle="1">
    <w:name w:val="Заголовок 1 Знак"/>
    <w:basedOn w:val="a0"/>
    <w:link w:val="1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40" w:customStyle="1">
    <w:name w:val="Заголовок 4 Знак"/>
    <w:basedOn w:val="a0"/>
    <w:link w:val="4"/>
    <w:uiPriority w:val="9"/>
    <w:semiHidden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a" w:customStyle="1">
    <w:name w:val="Текст выноски Знак"/>
    <w:basedOn w:val="a0"/>
    <w:link w:val="a9"/>
    <w:uiPriority w:val="99"/>
    <w:semiHidden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yperlink" Target="https://www.gosuslugi.ru/" TargetMode="External"/><Relationship Id="rId8" Type="http://schemas.openxmlformats.org/officeDocument/2006/relationships/hyperlink" Target="https://www.gosuslugi.ru/help/faq/popular/1" TargetMode="External"/><Relationship Id="rId9" Type="http://schemas.openxmlformats.org/officeDocument/2006/relationships/hyperlink" Target="https://www.gosuslugi.ru/help/faq/subcategory/about_gosuslugi/company_profile" TargetMode="External"/><Relationship Id="rId10" Type="http://schemas.openxmlformats.org/officeDocument/2006/relationships/image" Target="media/image1.jp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haracters>3384</Characters>
  <CharactersWithSpaces>3970</CharactersWithSpaces>
  <Company/>
  <DocSecurity>0</DocSecurity>
  <HyperlinksChanged>false</HyperlinksChanged>
  <Lines>28</Lines>
  <LinksUpToDate>false</LinksUpToDate>
  <Pages>7</Pages>
  <Paragraphs>7</Paragraphs>
  <ScaleCrop>false</ScaleCrop>
  <SharedDoc>false</SharedDoc>
  <Template>Normal</Template>
  <TotalTime>0</TotalTime>
  <Words>593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Климова Екатерина Владимировна</cp:lastModifiedBy>
  <cp:revision>2</cp:revision>
  <dcterms:created xsi:type="dcterms:W3CDTF">2025-11-19T13:17:00Z</dcterms:created>
  <dcterms:modified xsi:type="dcterms:W3CDTF">2025-11-19T13:17:00Z</dcterms:modified>
</cp:coreProperties>
</file>